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0354" w:type="dxa"/>
        <w:tblInd w:w="-226" w:type="dxa"/>
        <w:tblLook w:val="000600" w:firstRow="0" w:lastRow="0" w:firstColumn="0" w:lastColumn="0" w:noHBand="1" w:noVBand="1"/>
        <w:tblLayout w:type="fixed"/>
      </w:tblPr>
      <w:tblGrid>
        <w:gridCol w:w="1985"/>
        <w:gridCol w:w="4120"/>
        <w:gridCol w:w="4249"/>
      </w:tblGrid>
      <w:tr>
        <w:trPr>
          <w:trHeight w:hRule="atleast" w:val="540"/>
        </w:trPr>
        <w:tc>
          <w:tcPr>
            <w:tcW w:type="dxa" w:w="10354"/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/>
              <w:tr2bl w:val="nil" w:color="000000"/>
            </w:tcBorders>
          </w:tcPr>
          <w:p>
            <w:pPr>
              <w:pStyle w:val="PO6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6"/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rStyle w:val="PO6"/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广州市2017年自学考试工作时间安排</w:t>
            </w:r>
          </w:p>
        </w:tc>
      </w:tr>
      <w:tr>
        <w:trPr>
          <w:trHeight w:hRule="atleast" w:val="330"/>
        </w:trPr>
        <w:tc>
          <w:tcPr>
            <w:tcW w:type="dxa" w:w="198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事项／时间</w:t>
            </w:r>
          </w:p>
        </w:tc>
        <w:tc>
          <w:tcPr>
            <w:tcW w:type="dxa" w:w="412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0"/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上半年</w:t>
            </w:r>
          </w:p>
        </w:tc>
        <w:tc>
          <w:tcPr>
            <w:tcW w:type="dxa" w:w="424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0"/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0"/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下半年</w:t>
            </w:r>
          </w:p>
        </w:tc>
      </w:tr>
      <w:tr>
        <w:trPr>
          <w:trHeight w:hRule="atleast" w:val="570"/>
        </w:trPr>
        <w:tc>
          <w:tcPr>
            <w:tcW w:type="dxa" w:w="198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报名报考</w:t>
            </w:r>
          </w:p>
        </w:tc>
        <w:tc>
          <w:tcPr>
            <w:tcW w:type="dxa" w:w="412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1月考试：上一年11月10～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20日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4月考试：1月10～25日</w:t>
            </w:r>
          </w:p>
        </w:tc>
        <w:tc>
          <w:tcPr>
            <w:tcW w:type="dxa" w:w="424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 xml:space="preserve">7月考试: 5月10～20日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10月考试：7月16～20日</w:t>
            </w:r>
          </w:p>
        </w:tc>
      </w:tr>
      <w:tr>
        <w:trPr>
          <w:trHeight w:hRule="atleast" w:val="584"/>
        </w:trPr>
        <w:tc>
          <w:tcPr>
            <w:tcW w:type="dxa" w:w="198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 xml:space="preserve">考　 试</w:t>
            </w:r>
          </w:p>
        </w:tc>
        <w:tc>
          <w:tcPr>
            <w:tcW w:type="dxa" w:w="412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FF0000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FF0000"/>
                <w:position w:val="0"/>
                <w:sz w:val="30"/>
                <w:szCs w:val="30"/>
                <w:rFonts w:ascii="宋体" w:eastAsia="宋体" w:hAnsi="宋体" w:hint="default"/>
              </w:rPr>
              <w:t>1月考试：1月7、8日</w:t>
            </w:r>
            <w:r>
              <w:rPr>
                <w:color w:val="FF0000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  <w:r>
              <w:rPr>
                <w:color w:val="FF0000"/>
                <w:position w:val="0"/>
                <w:sz w:val="30"/>
                <w:szCs w:val="30"/>
                <w:rFonts w:ascii="宋体" w:eastAsia="宋体" w:hAnsi="宋体" w:hint="default"/>
              </w:rPr>
              <w:t>4月考试：4月15、16日</w:t>
            </w:r>
          </w:p>
        </w:tc>
        <w:tc>
          <w:tcPr>
            <w:tcW w:type="dxa" w:w="424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FF0000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FF0000"/>
                <w:position w:val="0"/>
                <w:sz w:val="30"/>
                <w:szCs w:val="30"/>
                <w:rFonts w:ascii="宋体" w:eastAsia="宋体" w:hAnsi="宋体" w:hint="default"/>
              </w:rPr>
              <w:t>7月考试：7月8、9日</w:t>
            </w:r>
            <w:r>
              <w:rPr>
                <w:color w:val="FF0000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  <w:r>
              <w:rPr>
                <w:color w:val="FF0000"/>
                <w:position w:val="0"/>
                <w:sz w:val="30"/>
                <w:szCs w:val="30"/>
                <w:rFonts w:ascii="宋体" w:eastAsia="宋体" w:hAnsi="宋体" w:hint="default"/>
              </w:rPr>
              <w:t>10月考试：10月21、22日</w:t>
            </w:r>
            <w:r>
              <w:rPr>
                <w:color w:val="FF0000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</w:p>
        </w:tc>
      </w:tr>
      <w:tr>
        <w:trPr>
          <w:trHeight w:hRule="atleast" w:val="644"/>
        </w:trPr>
        <w:tc>
          <w:tcPr>
            <w:tcW w:type="dxa" w:w="198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考试考场试</w:t>
            </w: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室座位公布</w:t>
            </w: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（网上公布）</w:t>
            </w:r>
          </w:p>
        </w:tc>
        <w:tc>
          <w:tcPr>
            <w:tcW w:type="dxa" w:w="412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每期考试前一周</w:t>
            </w:r>
          </w:p>
        </w:tc>
        <w:tc>
          <w:tcPr>
            <w:tcW w:type="dxa" w:w="424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570"/>
        </w:trPr>
        <w:tc>
          <w:tcPr>
            <w:tcW w:type="dxa" w:w="198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准考证发放</w:t>
            </w:r>
          </w:p>
        </w:tc>
        <w:tc>
          <w:tcPr>
            <w:tcW w:type="dxa" w:w="412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每期考试前一周，以报名点时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间为准（在当期缴费办证的报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名报考点领取）</w:t>
            </w:r>
          </w:p>
        </w:tc>
        <w:tc>
          <w:tcPr>
            <w:tcW w:type="dxa" w:w="424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1050"/>
        </w:trPr>
        <w:tc>
          <w:tcPr>
            <w:tcW w:type="dxa" w:w="198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办理临时准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考证</w:t>
            </w:r>
          </w:p>
        </w:tc>
        <w:tc>
          <w:tcPr>
            <w:tcW w:type="dxa" w:w="412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每期考试前一周；办理地点：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1.广州市招生考试委员会办公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室对外办公大厅（地址：“广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州市越秀区建设六马路16号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三楼”）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2.当期参加考试的考点所在各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区招生考试办公室</w:t>
            </w:r>
          </w:p>
        </w:tc>
        <w:tc>
          <w:tcPr>
            <w:tcW w:type="dxa" w:w="424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570"/>
        </w:trPr>
        <w:tc>
          <w:tcPr>
            <w:tcW w:type="dxa" w:w="198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考试成绩公</w:t>
            </w: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布</w:t>
            </w: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（网上公布）</w:t>
            </w:r>
          </w:p>
        </w:tc>
        <w:tc>
          <w:tcPr>
            <w:tcW w:type="dxa" w:w="412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1月考试：2月下旬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4月考试：6月上旬</w:t>
            </w:r>
          </w:p>
        </w:tc>
        <w:tc>
          <w:tcPr>
            <w:tcW w:type="dxa" w:w="424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7月考试：8月下旬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10月考试：11月下旬</w:t>
            </w:r>
          </w:p>
        </w:tc>
      </w:tr>
      <w:tr>
        <w:trPr>
          <w:trHeight w:hRule="atleast" w:val="570"/>
        </w:trPr>
        <w:tc>
          <w:tcPr>
            <w:tcW w:type="dxa" w:w="198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申请领取合</w:t>
            </w: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格证书（网</w:t>
            </w: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上申请）</w:t>
            </w:r>
          </w:p>
        </w:tc>
        <w:tc>
          <w:tcPr>
            <w:tcW w:type="dxa" w:w="412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当期考试成绩公布后的下一周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七天内（请考生在查询当期成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绩时，查看网上申请领取合格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证书的时间）</w:t>
            </w:r>
          </w:p>
        </w:tc>
        <w:tc>
          <w:tcPr>
            <w:tcW w:type="dxa" w:w="424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1290"/>
        </w:trPr>
        <w:tc>
          <w:tcPr>
            <w:tcW w:type="dxa" w:w="198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当期课程合</w:t>
            </w: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格证书发放</w:t>
            </w: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（发放办法</w:t>
            </w: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和地点）</w:t>
            </w:r>
          </w:p>
        </w:tc>
        <w:tc>
          <w:tcPr>
            <w:tcW w:type="dxa" w:w="412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1月考试：3月28日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4月考试：6月28日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（如遇发放日期是周六、日则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顺延到下周的周一办理，特殊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情况另行通知）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</w:p>
        </w:tc>
        <w:tc>
          <w:tcPr>
            <w:tcW w:type="dxa" w:w="424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7月考试：9月28日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10月考试：12月28日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（如遇发放日期是周六、日则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顺延到下周的周一办理，特殊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情况另行通知）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</w:p>
        </w:tc>
      </w:tr>
      <w:tr>
        <w:trPr>
          <w:trHeight w:hRule="atleast" w:val="1050"/>
        </w:trPr>
        <w:tc>
          <w:tcPr>
            <w:tcW w:type="dxa" w:w="198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当期考试申</w:t>
            </w: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请查卷登记</w:t>
            </w: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（到原报考</w:t>
            </w: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点登记）</w:t>
            </w: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</w:p>
        </w:tc>
        <w:tc>
          <w:tcPr>
            <w:tcW w:type="dxa" w:w="412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当期考试成绩公布后的下一周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的周四、周五（请考生在查询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当期成绩时，查看申请查卷的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具体登记时间和地点）</w:t>
            </w:r>
          </w:p>
        </w:tc>
        <w:tc>
          <w:tcPr>
            <w:tcW w:type="dxa" w:w="424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810"/>
        </w:trPr>
        <w:tc>
          <w:tcPr>
            <w:tcW w:type="dxa" w:w="198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办理毕业登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记</w:t>
            </w:r>
          </w:p>
        </w:tc>
        <w:tc>
          <w:tcPr>
            <w:tcW w:type="dxa" w:w="412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上半年：6月15～20日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（必须在5月1日前办理转考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、免考、考籍数据更正手续）</w:t>
            </w:r>
          </w:p>
        </w:tc>
        <w:tc>
          <w:tcPr>
            <w:tcW w:type="dxa" w:w="424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下半年：12月15～20日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（必须在11月1日前办理转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考、免考、考籍数据更正手续）</w:t>
            </w:r>
          </w:p>
        </w:tc>
      </w:tr>
      <w:tr>
        <w:trPr>
          <w:trHeight w:hRule="atleast" w:val="1198"/>
        </w:trPr>
        <w:tc>
          <w:tcPr>
            <w:tcW w:type="dxa" w:w="198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办理免考、</w:t>
            </w: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转考手续</w:t>
            </w: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t>（办理地点）</w:t>
            </w:r>
            <w:r>
              <w:rPr>
                <w:color w:val="000000"/>
                <w:position w:val="0"/>
                <w:sz w:val="30"/>
                <w:szCs w:val="30"/>
                <w:rFonts w:ascii="宋体" w:eastAsia="宋体" w:hAnsi="宋体" w:hint="default"/>
              </w:rPr>
              <w:br/>
            </w:r>
          </w:p>
        </w:tc>
        <w:tc>
          <w:tcPr>
            <w:tcW w:type="dxa" w:w="412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每月25日（如遇该天是周六、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日则顺延到下周星期一办理，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特殊情况另行通知）；各区、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县级市具体办理安排请与相关</w:t>
            </w:r>
            <w:r>
              <w:rPr>
                <w:color w:val="373737"/>
                <w:position w:val="0"/>
                <w:sz w:val="30"/>
                <w:szCs w:val="30"/>
                <w:rFonts w:ascii="宋体" w:eastAsia="宋体" w:hAnsi="宋体" w:hint="default"/>
              </w:rPr>
              <w:t>考办联系。</w:t>
            </w:r>
          </w:p>
        </w:tc>
        <w:tc>
          <w:tcPr>
            <w:tcW w:type="dxa" w:w="424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30"/>
                <w:szCs w:val="3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color w:val="auto"/>
          <w:position w:val="0"/>
          <w:sz w:val="21"/>
          <w:szCs w:val="21"/>
          <w:shd w:val="clear" w:fill="BDD7EE" w:themeFill="accent1" w:themeFillTint="66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color w:val="auto"/>
          <w:position w:val="0"/>
          <w:sz w:val="21"/>
          <w:szCs w:val="21"/>
          <w:shd w:val="clear" w:fill="BDD7EE" w:themeFill="accent1" w:themeFillTint="66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br w:type="page"/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color w:val="auto"/>
          <w:position w:val="0"/>
          <w:sz w:val="21"/>
          <w:szCs w:val="21"/>
          <w:shd w:val="clear" w:fill="BDD7EE" w:themeFill="accent1" w:themeFillTint="66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873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bullet"/>
      <w:start w:val="1"/>
      <w:suff w:val="tab"/>
      <w:pPr>
        <w:ind w:left="800" w:hanging="400"/>
        <w:jc w:val="both"/>
      </w:pPr>
      <w:rPr>
        <w:color w:val="984807"/>
        <w:rFonts w:ascii="Wingdings" w:eastAsia="Wingdings" w:hAnsi="Wingdings"/>
        <w:b w:val="0"/>
        <w:shd w:val="clear"/>
        <w:sz w:val="44"/>
        <w:szCs w:val="44"/>
        <w:u w:val="none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1">
    <w:multiLevelType w:val="hybridMultilevel"/>
    <w:nsid w:val="000001"/>
    <w:tmpl w:val="004823"/>
    <w:lvl w:ilvl="0">
      <w:lvlJc w:val="left"/>
      <w:numFmt w:val="decimal"/>
      <w:start w:val="1"/>
      <w:suff w:val="tab"/>
      <w:pPr>
        <w:ind w:left="800" w:hanging="400"/>
        <w:jc w:val="both"/>
      </w:pPr>
      <w:rPr>
        <w:color w:val="984807"/>
        <w:rFonts w:ascii="宋体" w:eastAsia="宋体" w:hAnsi="宋体"/>
        <w:b w:val="0"/>
        <w:shd w:val="clear"/>
        <w:sz w:val="44"/>
        <w:szCs w:val="44"/>
        <w:u w:val="none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  <w:jc w:val="both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2."/>
    </w:lvl>
    <w:lvl w:ilvl="2">
      <w:lvlJc w:val="left"/>
      <w:numFmt w:val="lowerRoman"/>
      <w:start w:val="1"/>
      <w:suff w:val="tab"/>
      <w:pPr>
        <w:ind w:left="1600" w:hanging="400"/>
        <w:jc w:val="both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2000" w:hanging="400"/>
        <w:jc w:val="both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4."/>
    </w:lvl>
    <w:lvl w:ilvl="4">
      <w:lvlJc w:val="left"/>
      <w:numFmt w:val="upperLetter"/>
      <w:start w:val="1"/>
      <w:suff w:val="tab"/>
      <w:pPr>
        <w:ind w:left="2400" w:hanging="400"/>
        <w:jc w:val="both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5."/>
    </w:lvl>
    <w:lvl w:ilvl="5">
      <w:lvlJc w:val="left"/>
      <w:numFmt w:val="lowerRoman"/>
      <w:start w:val="1"/>
      <w:suff w:val="tab"/>
      <w:pPr>
        <w:ind w:left="2800" w:hanging="400"/>
        <w:jc w:val="both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3200" w:hanging="400"/>
        <w:jc w:val="both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7."/>
    </w:lvl>
    <w:lvl w:ilvl="7">
      <w:lvlJc w:val="left"/>
      <w:numFmt w:val="upperLetter"/>
      <w:start w:val="1"/>
      <w:suff w:val="tab"/>
      <w:pPr>
        <w:ind w:left="3600" w:hanging="400"/>
        <w:jc w:val="both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8."/>
    </w:lvl>
    <w:lvl w:ilvl="8">
      <w:lvlJc w:val="left"/>
      <w:numFmt w:val="lowerRoman"/>
      <w:start w:val="1"/>
      <w:suff w:val="tab"/>
      <w:pPr>
        <w:ind w:left="4000" w:hanging="400"/>
        <w:jc w:val="both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9."/>
    </w:lvl>
  </w:abstractNum>
  <w:abstractNum w:abstractNumId="2">
    <w:multiLevelType w:val="hybridMultilevel"/>
    <w:nsid w:val="000002"/>
    <w:tmpl w:val="0018BE"/>
    <w:lvl w:ilvl="0">
      <w:lvlJc w:val="left"/>
      <w:numFmt w:val="bullet"/>
      <w:start w:val="1"/>
      <w:suff w:val="tab"/>
      <w:pPr>
        <w:ind w:left="800" w:hanging="400"/>
        <w:jc w:val="both"/>
      </w:pPr>
      <w:rPr>
        <w:color w:val="373737"/>
        <w:rFonts w:ascii="Wingdings" w:eastAsia="Wingdings" w:hAnsi="Wingdings"/>
        <w:b w:val="0"/>
        <w:shd w:val="clear"/>
        <w:sz w:val="20"/>
        <w:szCs w:val="20"/>
        <w:u w:val="none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3">
    <w:multiLevelType w:val="hybridMultilevel"/>
    <w:nsid w:val="000003"/>
    <w:tmpl w:val="006784"/>
    <w:lvl w:ilvl="0">
      <w:lvlJc w:val="left"/>
      <w:numFmt w:val="bullet"/>
      <w:start w:val="1"/>
      <w:suff w:val="tab"/>
      <w:pPr>
        <w:ind w:left="800" w:hanging="400"/>
        <w:jc w:val="both"/>
      </w:pPr>
      <w:rPr>
        <w:color w:val="000000"/>
        <w:rFonts w:ascii="Wingdings" w:eastAsia="Wingdings" w:hAnsi="Wingdings"/>
        <w:b w:val="0"/>
        <w:shd w:val="clear"/>
        <w:sz w:val="20"/>
        <w:szCs w:val="20"/>
        <w:u w:val="none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4">
    <w:multiLevelType w:val="hybridMultilevel"/>
    <w:nsid w:val="000004"/>
    <w:tmpl w:val="004AE1"/>
    <w:lvl w:ilvl="0">
      <w:lvlJc w:val="left"/>
      <w:numFmt w:val="bullet"/>
      <w:start w:val="1"/>
      <w:suff w:val="tab"/>
      <w:pPr>
        <w:ind w:left="800" w:hanging="400"/>
        <w:jc w:val="both"/>
      </w:pPr>
      <w:rPr>
        <w:color w:val="000000"/>
        <w:rFonts w:ascii="Wingdings" w:eastAsia="Wingdings" w:hAnsi="Wingdings"/>
        <w:b w:val="0"/>
        <w:shd w:val="clear"/>
        <w:sz w:val="20"/>
        <w:szCs w:val="20"/>
        <w:u w:val="none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rFonts w:ascii="宋体" w:eastAsia="宋体" w:hAnsi="宋体"/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38"/>
    <w:pPr>
      <w:autoSpaceDE w:val="1"/>
      <w:autoSpaceDN w:val="1"/>
      <w:jc w:val="both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autoSpaceDE w:val="1"/>
      <w:autoSpaceDN w:val="1"/>
      <w:jc w:val="both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>
      <w:autoSpaceDE w:val="1"/>
      <w:autoSpaceDN w:val="1"/>
      <w:jc w:val="both"/>
      <w:widowControl/>
      <w:wordWrap/>
    </w:pPr>
    <w:tblPr>
      <w:tblBorders>
        <w:bottom w:val="single" w:color="7E7E7E" w:themeColor="text1" w:themeTint="80" w:sz="4"/>
        <w:top w:val="single" w:color="7E7E7E" w:themeColor="text1" w:themeTint="80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E7E7E" w:themeColor="text1" w:themeTint="80" w:sz="4"/>
          <w:top w:val="single" w:color="7E7E7E" w:themeColor="text1" w:themeTint="80" w:sz="4"/>
        </w:tcBorders>
      </w:tcPr>
    </w:tblStylePr>
    <w:tblStylePr w:type="band1Vert">
      <w:tcPr>
        <w:tcBorders>
          <w:left w:val="single" w:color="7E7E7E" w:themeColor="text1" w:themeTint="80" w:sz="4"/>
          <w:right w:val="single" w:color="7E7E7E" w:themeColor="text1" w:themeTint="80" w:sz="4"/>
        </w:tcBorders>
      </w:tcPr>
    </w:tblStylePr>
    <w:tblStylePr w:type="band2Vert">
      <w:tcPr>
        <w:tcBorders>
          <w:left w:val="single" w:color="7E7E7E" w:themeColor="text1" w:themeTint="80" w:sz="4"/>
          <w:right w:val="single" w:color="7E7E7E" w:themeColor="text1" w:themeTint="80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E7E7E" w:themeColor="text1" w:themeTint="80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7E7E7E" w:themeColor="text1" w:themeTint="80" w:sz="4"/>
        </w:tcBorders>
      </w:tcPr>
    </w:tblStylePr>
  </w:style>
  <w:style w:styleId="PO41" w:type="table">
    <w:name w:val="Plain Table 3"/>
    <w:basedOn w:val="PO3"/>
    <w:uiPriority w:val="41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7E7E7E" w:themeColor="text1" w:themeTint="80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E7E7E" w:themeColor="text1" w:themeTint="80" w:sz="4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43" w:type="table">
    <w:name w:val="Plain Table 5"/>
    <w:basedOn w:val="PO3"/>
    <w:uiPriority w:val="43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000000" w:val="clear"/>
      </w:tcPr>
    </w:tblStylePr>
    <w:tblStylePr w:type="band1Vert">
      <w:tcPr>
        <w:shd w:fill="CCCCCC" w:themeFill="background1" w:themeFillShade="CC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themeShade="D8" w:sz="4"/>
        </w:tcBorders>
      </w:tcPr>
    </w:tblStylePr>
    <w:tblStylePr w:type="fir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themeShade="D8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themeShade="D8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autoSpaceDE w:val="1"/>
      <w:autoSpaceDN w:val="1"/>
      <w:jc w:val="both"/>
      <w:widowControl/>
      <w:wordWrap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autoSpaceDE w:val="1"/>
      <w:autoSpaceDN w:val="1"/>
      <w:jc w:val="both"/>
      <w:widowControl/>
      <w:wordWrap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autoSpaceDE w:val="1"/>
      <w:autoSpaceDN w:val="1"/>
      <w:jc w:val="both"/>
      <w:widowControl/>
      <w:wordWrap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autoSpaceDE w:val="1"/>
      <w:autoSpaceDN w:val="1"/>
      <w:jc w:val="both"/>
      <w:widowControl/>
      <w:wordWrap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autoSpaceDE w:val="1"/>
      <w:autoSpaceDN w:val="1"/>
      <w:jc w:val="both"/>
      <w:widowControl/>
      <w:wordWrap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autoSpaceDE w:val="1"/>
      <w:autoSpaceDN w:val="1"/>
      <w:jc w:val="both"/>
      <w:widowControl/>
      <w:wordWrap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autoSpaceDE w:val="1"/>
      <w:autoSpaceDN w:val="1"/>
      <w:jc w:val="both"/>
      <w:widowControl/>
      <w:wordWrap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000000" w:val="clear"/>
    </w:tcPr>
    <w:tblStylePr w:type="band1Horz">
      <w:tcPr>
        <w:shd w:fill="BDD7EE" w:themeFill="accent1" w:themeFillTint="66" w:color="000000" w:val="clear"/>
      </w:tcPr>
    </w:tblStylePr>
    <w:tblStylePr w:type="band1Vert">
      <w:tcPr>
        <w:shd w:fill="BDD7EE" w:themeFill="accen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cPr>
        <w:shd w:fill="F8CBAD" w:themeFill="accent2" w:themeFillTint="66" w:color="000000" w:val="clear"/>
      </w:tcPr>
    </w:tblStylePr>
    <w:tblStylePr w:type="band1Vert">
      <w:tcPr>
        <w:shd w:fill="F8CBAD" w:themeFill="accent2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cPr>
        <w:shd w:fill="DBDBDB" w:themeFill="accent3" w:themeFillTint="66" w:color="000000" w:val="clear"/>
      </w:tcPr>
    </w:tblStylePr>
    <w:tblStylePr w:type="band1Vert">
      <w:tcPr>
        <w:shd w:fill="DBDBDB" w:themeFill="accent3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cPr>
        <w:shd w:fill="FFE699" w:themeFill="accent4" w:themeFillTint="66" w:color="000000" w:val="clear"/>
      </w:tcPr>
    </w:tblStylePr>
    <w:tblStylePr w:type="band1Vert">
      <w:tcPr>
        <w:shd w:fill="FFE699" w:themeFill="accent4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000000" w:val="clear"/>
    </w:tcPr>
    <w:tblStylePr w:type="band1Horz">
      <w:tcPr>
        <w:shd w:fill="B4C7E7" w:themeFill="accent5" w:themeFillTint="66" w:color="000000" w:val="clear"/>
      </w:tcPr>
    </w:tblStylePr>
    <w:tblStylePr w:type="band1Vert">
      <w:tcPr>
        <w:shd w:fill="B4C7E7" w:themeFill="accent5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cPr>
        <w:shd w:fill="C5E0B4" w:themeFill="accent6" w:themeFillTint="66" w:color="000000" w:val="clear"/>
      </w:tcPr>
    </w:tblStylePr>
    <w:tblStylePr w:type="band1Vert">
      <w:tcPr>
        <w:shd w:fill="C5E0B4" w:themeFill="accent6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autoSpaceDE w:val="1"/>
      <w:autoSpaceDN w:val="1"/>
      <w:jc w:val="both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autoSpaceDE w:val="1"/>
      <w:autoSpaceDN w:val="1"/>
      <w:jc w:val="both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autoSpaceDE w:val="1"/>
      <w:autoSpaceDN w:val="1"/>
      <w:jc w:val="both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autoSpaceDE w:val="1"/>
      <w:autoSpaceDN w:val="1"/>
      <w:jc w:val="both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autoSpaceDE w:val="1"/>
      <w:autoSpaceDN w:val="1"/>
      <w:jc w:val="both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autoSpaceDE w:val="1"/>
      <w:autoSpaceDN w:val="1"/>
      <w:jc w:val="both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autoSpaceDE w:val="1"/>
      <w:autoSpaceDN w:val="1"/>
      <w:jc w:val="both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autoSpaceDE w:val="1"/>
      <w:autoSpaceDN w:val="1"/>
      <w:jc w:val="both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autoSpaceDE w:val="1"/>
      <w:autoSpaceDN w:val="1"/>
      <w:jc w:val="both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autoSpaceDE w:val="1"/>
      <w:autoSpaceDN w:val="1"/>
      <w:jc w:val="both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autoSpaceDE w:val="1"/>
      <w:autoSpaceDN w:val="1"/>
      <w:jc w:val="both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autoSpaceDE w:val="1"/>
      <w:autoSpaceDN w:val="1"/>
      <w:jc w:val="both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autoSpaceDE w:val="1"/>
      <w:autoSpaceDN w:val="1"/>
      <w:jc w:val="both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autoSpaceDE w:val="1"/>
      <w:autoSpaceDN w:val="1"/>
      <w:jc w:val="both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>
      <w:autoSpaceDE w:val="1"/>
      <w:autoSpaceDN w:val="1"/>
      <w:jc w:val="both"/>
      <w:widowControl/>
      <w:wordWrap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autoSpaceDE w:val="1"/>
      <w:autoSpaceDN w:val="1"/>
      <w:jc w:val="both"/>
      <w:widowControl/>
      <w:wordWrap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autoSpaceDE w:val="1"/>
      <w:autoSpaceDN w:val="1"/>
      <w:jc w:val="both"/>
      <w:widowControl/>
      <w:wordWrap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autoSpaceDE w:val="1"/>
      <w:autoSpaceDN w:val="1"/>
      <w:jc w:val="both"/>
      <w:widowControl/>
      <w:wordWrap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autoSpaceDE w:val="1"/>
      <w:autoSpaceDN w:val="1"/>
      <w:jc w:val="both"/>
      <w:widowControl/>
      <w:wordWrap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autoSpaceDE w:val="1"/>
      <w:autoSpaceDN w:val="1"/>
      <w:jc w:val="both"/>
      <w:widowControl/>
      <w:wordWrap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autoSpaceDE w:val="1"/>
      <w:autoSpaceDN w:val="1"/>
      <w:jc w:val="both"/>
      <w:widowControl/>
      <w:wordWrap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autoSpaceDE w:val="1"/>
      <w:autoSpaceDN w:val="1"/>
      <w:jc w:val="both"/>
      <w:widowControl/>
      <w:wordWrap/>
    </w:pPr>
    <w:rPr>
      <w:color w:val="000000" w:themeColor="text1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autoSpaceDE w:val="1"/>
      <w:autoSpaceDN w:val="1"/>
      <w:jc w:val="both"/>
      <w:widowControl/>
      <w:wordWrap/>
    </w:pPr>
    <w:rPr>
      <w:color w:val="5B9BD5" w:themeColor="accent1"/>
      <w:shd w:val="clear"/>
      <w:sz w:val="20"/>
      <w:szCs w:val="20"/>
      <w:w w:val="100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5B9BD5" w:themeColor="accent1" w:sz="4"/>
        </w:tcBorders>
      </w:tcPr>
    </w:tblStylePr>
    <w:tblStylePr w:type="lastCol"/>
    <w:tblStylePr w:type="lastRow"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autoSpaceDE w:val="1"/>
      <w:autoSpaceDN w:val="1"/>
      <w:jc w:val="both"/>
      <w:widowControl/>
      <w:wordWrap/>
    </w:pPr>
    <w:rPr>
      <w:color w:val="ED7D31" w:themeColor="accent2"/>
      <w:shd w:val="clear"/>
      <w:sz w:val="20"/>
      <w:szCs w:val="20"/>
      <w:w w:val="100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ED7D31" w:themeColor="accent2" w:sz="4"/>
        </w:tcBorders>
      </w:tcPr>
    </w:tblStylePr>
    <w:tblStylePr w:type="lastCol"/>
    <w:tblStylePr w:type="lastRow"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autoSpaceDE w:val="1"/>
      <w:autoSpaceDN w:val="1"/>
      <w:jc w:val="both"/>
      <w:widowControl/>
      <w:wordWrap/>
    </w:pPr>
    <w:rPr>
      <w:color w:val="A5A5A5" w:themeColor="accent3"/>
      <w:shd w:val="clear"/>
      <w:sz w:val="20"/>
      <w:szCs w:val="20"/>
      <w:w w:val="100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5A5A5" w:themeColor="accent3" w:sz="4"/>
        </w:tcBorders>
      </w:tcPr>
    </w:tblStylePr>
    <w:tblStylePr w:type="lastCol"/>
    <w:tblStylePr w:type="lastRow"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autoSpaceDE w:val="1"/>
      <w:autoSpaceDN w:val="1"/>
      <w:jc w:val="both"/>
      <w:widowControl/>
      <w:wordWrap/>
    </w:pPr>
    <w:rPr>
      <w:color w:val="FFC000" w:themeColor="accent4"/>
      <w:shd w:val="clear"/>
      <w:sz w:val="20"/>
      <w:szCs w:val="20"/>
      <w:w w:val="100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C000" w:themeColor="accent4" w:sz="4"/>
        </w:tcBorders>
      </w:tcPr>
    </w:tblStylePr>
    <w:tblStylePr w:type="lastCol"/>
    <w:tblStylePr w:type="lastRow"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autoSpaceDE w:val="1"/>
      <w:autoSpaceDN w:val="1"/>
      <w:jc w:val="both"/>
      <w:widowControl/>
      <w:wordWrap/>
    </w:pPr>
    <w:rPr>
      <w:color w:val="4472C4" w:themeColor="accent5"/>
      <w:shd w:val="clear"/>
      <w:sz w:val="20"/>
      <w:szCs w:val="20"/>
      <w:w w:val="100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4472C4" w:themeColor="accent5" w:sz="4"/>
        </w:tcBorders>
      </w:tcPr>
    </w:tblStylePr>
    <w:tblStylePr w:type="lastCol"/>
    <w:tblStylePr w:type="lastRow"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autoSpaceDE w:val="1"/>
      <w:autoSpaceDN w:val="1"/>
      <w:jc w:val="both"/>
      <w:widowControl/>
      <w:wordWrap/>
    </w:pPr>
    <w:rPr>
      <w:color w:val="70AD47" w:themeColor="accent6"/>
      <w:shd w:val="clear"/>
      <w:sz w:val="20"/>
      <w:szCs w:val="20"/>
      <w:w w:val="100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0AD47" w:themeColor="accent6" w:sz="4"/>
        </w:tcBorders>
      </w:tcPr>
    </w:tblStylePr>
    <w:tblStylePr w:type="lastCol"/>
    <w:tblStylePr w:type="lastRow"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autoSpaceDE w:val="1"/>
      <w:autoSpaceDN w:val="1"/>
      <w:jc w:val="both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autoSpaceDE w:val="1"/>
      <w:autoSpaceDN w:val="1"/>
      <w:jc w:val="both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autoSpaceDE w:val="1"/>
      <w:autoSpaceDN w:val="1"/>
      <w:jc w:val="both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autoSpaceDE w:val="1"/>
      <w:autoSpaceDN w:val="1"/>
      <w:jc w:val="both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autoSpaceDE w:val="1"/>
      <w:autoSpaceDN w:val="1"/>
      <w:jc w:val="both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autoSpaceDE w:val="1"/>
      <w:autoSpaceDN w:val="1"/>
      <w:jc w:val="both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autoSpaceDE w:val="1"/>
      <w:autoSpaceDN w:val="1"/>
      <w:jc w:val="both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default">
  <a:themeElements>
    <a:clrScheme name="Office 主题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主题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fault" id="{4CAB55F4-904E-4FF3-8A9F-E7A47786AB7F}" vid="{8D07CCF9-0410-4635-9230-580DF5294DC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46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